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 w:line="288" w:lineRule="auto"/>
        <w:jc w:val="center"/>
      </w:pPr>
      <w:r>
        <w:rPr>
          <w:rFonts w:ascii="STSong" w:hAnsi="STSong" w:eastAsia="STSong"/>
          <w:b/>
          <w:sz w:val="40"/>
        </w:rPr>
        <w:t>快手监测链接接入说明</w:t>
      </w:r>
    </w:p>
    <w:p>
      <w:pPr>
        <w:spacing w:before="0" w:after="280" w:line="288" w:lineRule="auto"/>
        <w:jc w:val="center"/>
      </w:pPr>
      <w:r>
        <w:rPr>
          <w:rFonts w:ascii="STSong" w:hAnsi="STSong" w:eastAsia="STSong"/>
          <w:b w:val="0"/>
          <w:color w:val="5A5A5A"/>
          <w:sz w:val="21"/>
        </w:rPr>
        <w:t>适用于快手安卓 / iOS 曝光、点击监测链接接入及后续转化回传</w:t>
      </w:r>
    </w:p>
    <w:p>
      <w:pPr>
        <w:spacing w:before="0" w:after="200" w:line="288" w:lineRule="auto"/>
      </w:pPr>
      <w:r>
        <w:rPr>
          <w:rFonts w:ascii="STSong" w:hAnsi="STSong" w:eastAsia="STSong"/>
          <w:b/>
          <w:sz w:val="21"/>
        </w:rPr>
        <w:t>文档目的：</w:t>
      </w:r>
      <w:r>
        <w:rPr>
          <w:rFonts w:ascii="STSong" w:hAnsi="STSong" w:eastAsia="STSong"/>
          <w:b w:val="0"/>
          <w:sz w:val="21"/>
        </w:rPr>
        <w:t>用于向业务、运营及媒体对接同学说明快手监测链接的使用方式、参数要求、扣量口径及系统处理规则。</w:t>
      </w:r>
    </w:p>
    <w:p>
      <w:pPr>
        <w:spacing w:before="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一、对外提供的监测链接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曝光链接：用户产生曝光时调用。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点击链接：用户产生点击时调用，服务端处理完成后会跳转到落地页或应用商店。</w:t>
      </w:r>
    </w:p>
    <w:p>
      <w:pPr>
        <w:spacing w:before="120" w:after="120" w:line="288" w:lineRule="auto"/>
      </w:pPr>
      <w:r>
        <w:rPr>
          <w:rFonts w:ascii="STSong" w:hAnsi="STSong" w:eastAsia="STSong"/>
          <w:b/>
          <w:color w:val="444444"/>
          <w:sz w:val="23"/>
        </w:rPr>
        <w:t>1. iOS 链接模板</w:t>
      </w:r>
    </w:p>
    <w:p>
      <w:pPr>
        <w:spacing w:before="0" w:after="80" w:line="288" w:lineRule="auto"/>
        <w:ind w:left="227"/>
      </w:pPr>
      <w:r>
        <w:rPr>
          <w:rFonts w:ascii="Courier New" w:hAnsi="Courier New" w:eastAsia="Courier New"/>
          <w:b w:val="0"/>
          <w:sz w:val="18"/>
        </w:rPr>
        <w:t>曝光链接：https://{your-domain}/kuaishou/impression?callback=__CALLBACK__&amp;platform=ios&amp;tagId={baiduTagId}&amp;accountId={accountId}&amp;idfa=__IDFA2__&amp;kenyid_caa=__KENYID_CAA__&amp;ip=__IP__&amp;ua=__UA__&amp;deduction_rate={0-100}&amp;ts=__TS__</w:t>
      </w:r>
    </w:p>
    <w:p>
      <w:pPr>
        <w:spacing w:before="0" w:after="80" w:line="288" w:lineRule="auto"/>
        <w:ind w:left="227"/>
      </w:pPr>
      <w:r>
        <w:rPr>
          <w:rFonts w:ascii="Courier New" w:hAnsi="Courier New" w:eastAsia="Courier New"/>
          <w:b w:val="0"/>
          <w:sz w:val="18"/>
        </w:rPr>
        <w:t>点击链接：https://{your-domain}/kuaishou/click?callback=__CALLBACK__&amp;platform=ios&amp;tagId={baiduTagId}&amp;accountId={accountId}&amp;idfa=__IDFA2__&amp;kenyid_caa=__KENYID_CAA__&amp;ip=__IP__&amp;ua=__UA__&amp;deduction_rate={0-100}&amp;ts=__TS__</w:t>
      </w:r>
    </w:p>
    <w:p>
      <w:pPr>
        <w:spacing w:before="120" w:after="120" w:line="288" w:lineRule="auto"/>
      </w:pPr>
      <w:r>
        <w:rPr>
          <w:rFonts w:ascii="STSong" w:hAnsi="STSong" w:eastAsia="STSong"/>
          <w:b/>
          <w:color w:val="444444"/>
          <w:sz w:val="23"/>
        </w:rPr>
        <w:t>2. Android 链接模板</w:t>
      </w:r>
    </w:p>
    <w:p>
      <w:pPr>
        <w:spacing w:before="0" w:after="80" w:line="288" w:lineRule="auto"/>
        <w:ind w:left="227"/>
      </w:pPr>
      <w:r>
        <w:rPr>
          <w:rFonts w:ascii="Courier New" w:hAnsi="Courier New" w:eastAsia="Courier New"/>
          <w:b w:val="0"/>
          <w:sz w:val="18"/>
        </w:rPr>
        <w:t>曝光链接：https://{your-domain}/kuaishou/impression?callback=__CALLBACK__&amp;platform=android&amp;tagId={baiduTagId}&amp;accountId={accountId}&amp;oaid=__OAID2__&amp;imei=__IMEI2__&amp;androidid=__ANDROIDID2__&amp;ip=__IP__&amp;ua=__UA__&amp;deduction_rate={0-100}&amp;ts=__TS__</w:t>
      </w:r>
    </w:p>
    <w:p>
      <w:pPr>
        <w:spacing w:before="0" w:after="80" w:line="288" w:lineRule="auto"/>
        <w:ind w:left="227"/>
      </w:pPr>
      <w:r>
        <w:rPr>
          <w:rFonts w:ascii="Courier New" w:hAnsi="Courier New" w:eastAsia="Courier New"/>
          <w:b w:val="0"/>
          <w:sz w:val="18"/>
        </w:rPr>
        <w:t>点击链接：https://{your-domain}/kuaishou/click?callback=__CALLBACK__&amp;platform=android&amp;tagId={baiduTagId}&amp;accountId={accountId}&amp;oaid=__OAID2__&amp;imei=__IMEI2__&amp;androidid=__ANDROIDID2__&amp;ip=__IP__&amp;ua=__UA__&amp;deduction_rate={0-100}&amp;ts=__TS__</w:t>
      </w:r>
    </w:p>
    <w:p>
      <w:pPr>
        <w:spacing w:before="16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二、参数要求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814"/>
            <w:vAlign w:val="center"/>
            <w:shd w:fill="D9EAF7"/>
          </w:tcPr>
          <w:p>
            <w:pPr>
              <w:jc w:val="center"/>
            </w:pPr>
            <w:r>
              <w:rPr>
                <w:rFonts w:ascii="STSong" w:hAnsi="STSong" w:eastAsia="STSong"/>
                <w:b/>
                <w:sz w:val="20"/>
              </w:rPr>
              <w:t>参数名</w:t>
            </w:r>
          </w:p>
        </w:tc>
        <w:tc>
          <w:tcPr>
            <w:tcW w:type="dxa" w:w="1361"/>
            <w:vAlign w:val="center"/>
            <w:shd w:fill="D9EAF7"/>
          </w:tcPr>
          <w:p>
            <w:pPr>
              <w:jc w:val="center"/>
            </w:pPr>
            <w:r>
              <w:rPr>
                <w:rFonts w:ascii="STSong" w:hAnsi="STSong" w:eastAsia="STSong"/>
                <w:b/>
                <w:sz w:val="20"/>
              </w:rPr>
              <w:t>是否必填</w:t>
            </w:r>
          </w:p>
        </w:tc>
        <w:tc>
          <w:tcPr>
            <w:tcW w:type="dxa" w:w="1587"/>
            <w:vAlign w:val="center"/>
            <w:shd w:fill="D9EAF7"/>
          </w:tcPr>
          <w:p>
            <w:pPr>
              <w:jc w:val="center"/>
            </w:pPr>
            <w:r>
              <w:rPr>
                <w:rFonts w:ascii="STSong" w:hAnsi="STSong" w:eastAsia="STSong"/>
                <w:b/>
                <w:sz w:val="20"/>
              </w:rPr>
              <w:t>适用平台</w:t>
            </w:r>
          </w:p>
        </w:tc>
        <w:tc>
          <w:tcPr>
            <w:tcW w:type="dxa" w:w="4422"/>
            <w:vAlign w:val="center"/>
            <w:shd w:fill="D9EAF7"/>
          </w:tcPr>
          <w:p>
            <w:pPr>
              <w:jc w:val="center"/>
            </w:pPr>
            <w:r>
              <w:rPr>
                <w:rFonts w:ascii="STSong" w:hAnsi="STSong" w:eastAsia="STSong"/>
                <w:b/>
                <w:sz w:val="20"/>
              </w:rPr>
              <w:t>说明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callback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快手下发的回传标识，后续向快手回传转化时会使用该值。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tagId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建议必填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百度广告位 ID。建议始终传，减少多广告位场景下的路由歧义。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platform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建议必填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平台类型，取值为 ios 或 android。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accountId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快手投放账户 ID。扣量按账户维度参与计算。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idfa / kenyid_caa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至少一种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设备标识参数，对应快手宏 __IDFA2__ / __KENYID_CAA__。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oaid / imei / androidid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至少一种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Android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设备标识参数，对应快手宏 __OAID2__ / __IMEI2__ / __ANDROIDID2__。建议优先保证 OAID 可用。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ip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建议必填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用户 IP。未传时服务端会尽量从请求中获取。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ua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建议必填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用户 UA。未传时服务端会按平台补默认值。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deduction_rate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选填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扣量比例，范围 0-100。不传时按 0 处理。</w:t>
            </w:r>
          </w:p>
        </w:tc>
      </w:tr>
      <w:tr>
        <w:tc>
          <w:tcPr>
            <w:tcW w:type="dxa" w:w="1814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ts</w:t>
            </w:r>
          </w:p>
        </w:tc>
        <w:tc>
          <w:tcPr>
            <w:tcW w:type="dxa" w:w="1361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选填</w:t>
            </w:r>
          </w:p>
        </w:tc>
        <w:tc>
          <w:tcPr>
            <w:tcW w:type="dxa" w:w="1587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安卓 / iOS</w:t>
            </w:r>
          </w:p>
        </w:tc>
        <w:tc>
          <w:tcPr>
            <w:tcW w:type="dxa" w:w="4422"/>
            <w:vAlign w:val="center"/>
          </w:tcPr>
          <w:p>
            <w:pPr>
              <w:spacing w:before="0" w:after="40" w:line="288" w:lineRule="auto"/>
            </w:pPr>
            <w:r>
              <w:rPr>
                <w:rFonts w:ascii="STSong" w:hAnsi="STSong" w:eastAsia="STSong"/>
                <w:b w:val="0"/>
                <w:sz w:val="19"/>
              </w:rPr>
              <w:t>媒体事件时间戳，建议传毫秒时间戳。</w:t>
            </w:r>
          </w:p>
        </w:tc>
      </w:tr>
    </w:tbl>
    <w:p>
      <w:pPr>
        <w:spacing w:before="160" w:after="120" w:line="288" w:lineRule="auto"/>
      </w:pPr>
      <w:r>
        <w:rPr>
          <w:rFonts w:ascii="STSong" w:hAnsi="STSong" w:eastAsia="STSong"/>
          <w:b/>
          <w:sz w:val="21"/>
        </w:rPr>
        <w:t>当前无需对外传递的参数：</w:t>
      </w:r>
      <w:r>
        <w:rPr>
          <w:rFonts w:ascii="STSong" w:hAnsi="STSong" w:eastAsia="STSong"/>
          <w:b w:val="0"/>
          <w:sz w:val="21"/>
        </w:rPr>
        <w:t>campaignid、aid、cid、deduction_key。</w:t>
      </w:r>
    </w:p>
    <w:p>
      <w:pPr>
        <w:spacing w:before="16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三、服务端处理逻辑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曝光请求到达后，服务端会请求百度竞价，落竞价记录，并上报百度曝光监测。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点击请求到达后，服务端会优先读取缓存中的竞价结果；如未命中，则补发一次百度竞价。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点击处理完成后，如百度返回了落地页或应用商店链接，服务端会跳转到对应地址。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百度转化回流后，系统会根据 qk 匹配快手竞价记录，再根据 tagId + 百度转化行为映射快手 event_type。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回传前会先做去重，只发送未处理过的回传任务。</w:t>
      </w:r>
    </w:p>
    <w:p>
      <w:pPr>
        <w:spacing w:before="16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四、扣量规则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快手扣量按腾讯口径处理，对外只需要传 deduction_rate。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扣量计算发生在百度转化回流后，不影响曝光、点击请求本身是否成功。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当前扣量维度为：账户 ID + 转化行为 + 日期。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扣量命中时，不回传快手，只在系统中记录一条 dispatch_status = DEDUCTED 的处理结果。</w:t>
      </w:r>
    </w:p>
    <w:p>
      <w:pPr>
        <w:spacing w:before="16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五、业务侧联调建议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联调阶段建议优先保证 callback、accountId、tagId 和设备标识参数完整。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iOS 与 Android 建议分别验证曝光、点击及至少一种百度转化回流场景。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如不需要扣量，可不传 deduction_rate，系统会按 0 处理。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如需启用扣量，请先确认投放账户维度和业务口径已经对齐。</w:t>
      </w:r>
    </w:p>
    <w:p>
      <w:pPr>
        <w:spacing w:before="160" w:after="160" w:line="288" w:lineRule="auto"/>
      </w:pPr>
      <w:r>
        <w:rPr>
          <w:rFonts w:ascii="STSong" w:hAnsi="STSong" w:eastAsia="STSong"/>
          <w:b/>
          <w:color w:val="1F4E79"/>
          <w:sz w:val="26"/>
        </w:rPr>
        <w:t>六、结论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业务侧主要关注三件事：下发正确链接、保证关键参数透传、按需控制 deduction_rate。</w:t>
      </w:r>
    </w:p>
    <w:p>
      <w:pPr>
        <w:spacing w:before="0" w:after="80" w:line="288" w:lineRule="auto"/>
        <w:ind w:left="340" w:hanging="170"/>
      </w:pPr>
      <w:r>
        <w:rPr>
          <w:rFonts w:ascii="STSong" w:hAnsi="STSong" w:eastAsia="STSong"/>
          <w:b w:val="0"/>
          <w:sz w:val="21"/>
        </w:rPr>
        <w:t>• 其余竞价、点击跳转、百度转化匹配及快手回传逻辑由服务端完成。</w:t>
      </w:r>
    </w:p>
    <w:sectPr w:rsidR="00FC693F" w:rsidRPr="0006063C" w:rsidSect="00034616">
      <w:footerReference w:type="default" r:id="rId9"/>
      <w:pgSz w:w="12240" w:h="15840"/>
      <w:pgMar w:top="1247" w:right="1247" w:bottom="124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STSong" w:hAnsi="STSong" w:eastAsia="STSong"/>
        <w:b w:val="0"/>
        <w:color w:val="787878"/>
        <w:sz w:val="16"/>
      </w:rPr>
      <w:t>快手监测链接接入说明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TSong" w:hAnsi="STSong" w:eastAsia="STSong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